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51F31">
      <w:pPr>
        <w:pStyle w:val="2"/>
        <w:spacing w:before="312" w:beforeLines="100" w:after="312" w:afterLines="100" w:line="500" w:lineRule="exact"/>
        <w:rPr>
          <w:rFonts w:hint="eastAsia" w:ascii="Times New Roman" w:hAnsi="Times New Roman"/>
          <w:szCs w:val="36"/>
        </w:rPr>
      </w:pPr>
      <w:r>
        <w:rPr>
          <w:rFonts w:hint="eastAsia" w:ascii="Times New Roman" w:hAnsi="Times New Roman"/>
          <w:szCs w:val="28"/>
        </w:rPr>
        <w:t>采购需求及要求</w:t>
      </w:r>
    </w:p>
    <w:p w14:paraId="5D32672C">
      <w:pPr>
        <w:spacing w:line="500" w:lineRule="exact"/>
        <w:jc w:val="center"/>
        <w:rPr>
          <w:rFonts w:hint="eastAsia"/>
          <w:b/>
          <w:bCs/>
          <w:sz w:val="24"/>
        </w:rPr>
      </w:pPr>
      <w:r>
        <w:rPr>
          <w:rFonts w:hint="eastAsia"/>
          <w:b/>
          <w:bCs/>
          <w:sz w:val="24"/>
        </w:rPr>
        <w:t>本章标注</w:t>
      </w:r>
      <w:r>
        <w:rPr>
          <w:rFonts w:hint="eastAsia"/>
          <w:b/>
          <w:bCs/>
          <w:sz w:val="24"/>
          <w:lang w:eastAsia="zh-CN"/>
        </w:rPr>
        <w:t>“</w:t>
      </w:r>
      <w:r>
        <w:rPr>
          <w:rFonts w:hint="eastAsia"/>
          <w:b/>
          <w:bCs/>
          <w:sz w:val="24"/>
        </w:rPr>
        <w:t>★</w:t>
      </w:r>
      <w:r>
        <w:rPr>
          <w:rFonts w:hint="eastAsia"/>
          <w:b/>
          <w:bCs/>
          <w:sz w:val="24"/>
          <w:lang w:eastAsia="zh-CN"/>
        </w:rPr>
        <w:t>”</w:t>
      </w:r>
      <w:r>
        <w:rPr>
          <w:rFonts w:hint="eastAsia"/>
          <w:b/>
          <w:bCs/>
          <w:sz w:val="24"/>
        </w:rPr>
        <w:t>内容为实质性要求，供应商有任意一项不响应的将作为无效投标</w:t>
      </w:r>
    </w:p>
    <w:p w14:paraId="39A74C21">
      <w:pPr>
        <w:pStyle w:val="4"/>
        <w:spacing w:before="156" w:beforeLines="50" w:line="500" w:lineRule="exact"/>
        <w:rPr>
          <w:rFonts w:hint="eastAsia"/>
          <w:sz w:val="24"/>
          <w:szCs w:val="28"/>
        </w:rPr>
      </w:pPr>
      <w:bookmarkStart w:id="0" w:name="_Toc10370"/>
      <w:bookmarkStart w:id="1" w:name="_Toc19271"/>
      <w:bookmarkStart w:id="2" w:name="_Toc16558"/>
      <w:r>
        <w:rPr>
          <w:rFonts w:hint="eastAsia"/>
          <w:sz w:val="24"/>
          <w:szCs w:val="28"/>
        </w:rPr>
        <w:t>一、</w:t>
      </w:r>
      <w:bookmarkEnd w:id="0"/>
      <w:bookmarkEnd w:id="1"/>
      <w:r>
        <w:rPr>
          <w:rFonts w:hint="eastAsia"/>
          <w:sz w:val="24"/>
          <w:szCs w:val="28"/>
        </w:rPr>
        <w:t>项目概况</w:t>
      </w:r>
      <w:bookmarkEnd w:id="2"/>
    </w:p>
    <w:p w14:paraId="0D2DD9F5">
      <w:pPr>
        <w:spacing w:line="500" w:lineRule="exact"/>
        <w:ind w:firstLine="480" w:firstLineChars="200"/>
        <w:rPr>
          <w:rFonts w:hint="eastAsia" w:eastAsia="宋体"/>
          <w:sz w:val="24"/>
          <w:lang w:eastAsia="zh-CN"/>
        </w:rPr>
      </w:pPr>
      <w:r>
        <w:rPr>
          <w:rFonts w:hint="eastAsia"/>
          <w:sz w:val="24"/>
        </w:rPr>
        <w:t>1、项目编号：</w:t>
      </w:r>
      <w:r>
        <w:rPr>
          <w:rFonts w:hint="eastAsia"/>
          <w:sz w:val="24"/>
          <w:lang w:eastAsia="zh-CN"/>
        </w:rPr>
        <w:t>ZHZH-NZ2026-030</w:t>
      </w:r>
    </w:p>
    <w:p w14:paraId="13544BCF">
      <w:pPr>
        <w:spacing w:line="500" w:lineRule="exact"/>
        <w:ind w:firstLine="480" w:firstLineChars="200"/>
        <w:rPr>
          <w:rFonts w:hint="eastAsia" w:eastAsia="宋体"/>
          <w:sz w:val="24"/>
          <w:lang w:eastAsia="zh-CN"/>
        </w:rPr>
      </w:pPr>
      <w:r>
        <w:rPr>
          <w:rFonts w:hint="eastAsia"/>
          <w:sz w:val="24"/>
        </w:rPr>
        <w:t>2、项目名称：</w:t>
      </w:r>
      <w:r>
        <w:rPr>
          <w:rFonts w:hint="eastAsia"/>
          <w:sz w:val="24"/>
          <w:lang w:eastAsia="zh-CN"/>
        </w:rPr>
        <w:t>汉阳区2026年物业管理类档案数字化加工服务项目</w:t>
      </w:r>
    </w:p>
    <w:p w14:paraId="0B794F4D">
      <w:pPr>
        <w:spacing w:line="500" w:lineRule="exact"/>
        <w:ind w:firstLine="480" w:firstLineChars="200"/>
        <w:rPr>
          <w:sz w:val="24"/>
        </w:rPr>
      </w:pPr>
      <w:r>
        <w:rPr>
          <w:rFonts w:hint="eastAsia"/>
          <w:sz w:val="24"/>
        </w:rPr>
        <w:t>3、预算金额：</w:t>
      </w:r>
      <w:r>
        <w:rPr>
          <w:rFonts w:hint="eastAsia"/>
          <w:sz w:val="24"/>
          <w:lang w:val="en-US" w:eastAsia="zh-CN"/>
        </w:rPr>
        <w:t>14万元</w:t>
      </w:r>
    </w:p>
    <w:p w14:paraId="3FD04B52">
      <w:pPr>
        <w:spacing w:line="500" w:lineRule="exact"/>
        <w:ind w:firstLine="480" w:firstLineChars="200"/>
        <w:rPr>
          <w:sz w:val="24"/>
        </w:rPr>
      </w:pPr>
      <w:r>
        <w:rPr>
          <w:rFonts w:hint="eastAsia"/>
          <w:sz w:val="24"/>
        </w:rPr>
        <w:t>4、最高限价：</w:t>
      </w:r>
      <w:r>
        <w:rPr>
          <w:rFonts w:hint="eastAsia"/>
          <w:sz w:val="24"/>
          <w:lang w:val="en-US" w:eastAsia="zh-CN"/>
        </w:rPr>
        <w:t>14万元</w:t>
      </w:r>
    </w:p>
    <w:p w14:paraId="63A4D729">
      <w:pPr>
        <w:widowControl/>
        <w:spacing w:line="500" w:lineRule="exact"/>
        <w:ind w:firstLine="482" w:firstLineChars="200"/>
        <w:contextualSpacing/>
        <w:jc w:val="left"/>
        <w:rPr>
          <w:rFonts w:hint="eastAsia"/>
          <w:sz w:val="24"/>
        </w:rPr>
      </w:pPr>
      <w:r>
        <w:rPr>
          <w:rFonts w:hint="eastAsia"/>
          <w:b/>
          <w:bCs/>
          <w:sz w:val="24"/>
        </w:rPr>
        <w:t>★</w:t>
      </w:r>
      <w:r>
        <w:rPr>
          <w:rFonts w:hint="eastAsia"/>
          <w:sz w:val="24"/>
        </w:rPr>
        <w:t>5、服务期：</w:t>
      </w:r>
      <w:r>
        <w:rPr>
          <w:rFonts w:hint="eastAsia" w:ascii="Times New Roman" w:hAnsi="Times New Roman" w:eastAsia="宋体"/>
          <w:b w:val="0"/>
          <w:bCs w:val="0"/>
          <w:caps w:val="0"/>
          <w:smallCaps w:val="0"/>
          <w:color w:val="auto"/>
          <w:sz w:val="24"/>
          <w:highlight w:val="none"/>
          <w:u w:val="none"/>
          <w:lang w:eastAsia="zh-CN"/>
        </w:rPr>
        <w:t>合同签订后3个月内完成</w:t>
      </w:r>
    </w:p>
    <w:p w14:paraId="70E1372A">
      <w:pPr>
        <w:pStyle w:val="4"/>
        <w:spacing w:before="156" w:beforeLines="50" w:line="500" w:lineRule="exact"/>
        <w:rPr>
          <w:rFonts w:hint="eastAsia"/>
          <w:sz w:val="24"/>
          <w:szCs w:val="28"/>
        </w:rPr>
      </w:pPr>
      <w:bookmarkStart w:id="3" w:name="_Toc19752"/>
      <w:r>
        <w:rPr>
          <w:rFonts w:hint="eastAsia"/>
          <w:sz w:val="24"/>
          <w:szCs w:val="28"/>
        </w:rPr>
        <w:t>二、采购需求及要求</w:t>
      </w:r>
      <w:bookmarkEnd w:id="3"/>
    </w:p>
    <w:p w14:paraId="11A0E22E">
      <w:pPr>
        <w:keepNext w:val="0"/>
        <w:keepLines w:val="0"/>
        <w:pageBreakBefore w:val="0"/>
        <w:widowControl/>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Times New Roman" w:hAnsi="Times New Roman" w:eastAsia="宋体" w:cs="宋体"/>
          <w:b/>
          <w:bCs/>
          <w:color w:val="auto"/>
          <w:kern w:val="0"/>
          <w:sz w:val="24"/>
          <w:szCs w:val="24"/>
          <w:highlight w:val="none"/>
          <w:lang w:val="en-US" w:eastAsia="zh-CN" w:bidi="ar"/>
        </w:rPr>
      </w:pPr>
      <w:bookmarkStart w:id="4" w:name="_Toc111016916"/>
      <w:bookmarkStart w:id="5" w:name="_Toc13006"/>
      <w:bookmarkStart w:id="6" w:name="_Toc23929"/>
      <w:bookmarkStart w:id="7" w:name="_Toc29543"/>
      <w:bookmarkStart w:id="8" w:name="_Toc15284"/>
      <w:bookmarkStart w:id="9" w:name="_Toc28253"/>
      <w:r>
        <w:rPr>
          <w:rFonts w:hint="eastAsia" w:ascii="Times New Roman" w:hAnsi="Times New Roman" w:eastAsia="宋体" w:cs="宋体"/>
          <w:b/>
          <w:bCs/>
          <w:color w:val="auto"/>
          <w:kern w:val="0"/>
          <w:sz w:val="24"/>
          <w:szCs w:val="24"/>
          <w:highlight w:val="none"/>
          <w:lang w:val="en-US" w:eastAsia="zh-CN" w:bidi="ar"/>
        </w:rPr>
        <w:t>（一）项目内容</w:t>
      </w:r>
    </w:p>
    <w:p w14:paraId="6B7248DE">
      <w:pPr>
        <w:spacing w:line="500" w:lineRule="exact"/>
        <w:ind w:firstLine="480" w:firstLineChars="200"/>
        <w:jc w:val="left"/>
        <w:rPr>
          <w:rFonts w:hint="eastAsia"/>
          <w:sz w:val="24"/>
        </w:rPr>
      </w:pPr>
      <w:r>
        <w:rPr>
          <w:rFonts w:hint="eastAsia"/>
          <w:sz w:val="24"/>
        </w:rPr>
        <w:t>完成汉阳区住宅专项维修资金使用拨付</w:t>
      </w:r>
      <w:r>
        <w:rPr>
          <w:rFonts w:hint="eastAsia"/>
          <w:sz w:val="24"/>
          <w:lang w:val="en-US" w:eastAsia="zh-CN"/>
        </w:rPr>
        <w:t>2025</w:t>
      </w:r>
      <w:r>
        <w:rPr>
          <w:rFonts w:hint="eastAsia"/>
          <w:sz w:val="24"/>
        </w:rPr>
        <w:t>全年度工作所形成并具有保存价值的材料共计</w:t>
      </w:r>
      <w:r>
        <w:rPr>
          <w:rFonts w:hint="eastAsia"/>
          <w:sz w:val="24"/>
          <w:lang w:val="en-US" w:eastAsia="zh-CN"/>
        </w:rPr>
        <w:t>306</w:t>
      </w:r>
      <w:r>
        <w:rPr>
          <w:rFonts w:hint="eastAsia"/>
          <w:sz w:val="24"/>
        </w:rPr>
        <w:t>个项目的档案整理立卷、装订成册、扫描存档及档案装盒上架等数字化加工服务工作。</w:t>
      </w:r>
    </w:p>
    <w:bookmarkEnd w:id="4"/>
    <w:bookmarkEnd w:id="5"/>
    <w:bookmarkEnd w:id="6"/>
    <w:bookmarkEnd w:id="7"/>
    <w:bookmarkEnd w:id="8"/>
    <w:bookmarkEnd w:id="9"/>
    <w:p w14:paraId="1FD189FA">
      <w:pPr>
        <w:keepNext w:val="0"/>
        <w:keepLines w:val="0"/>
        <w:pageBreakBefore w:val="0"/>
        <w:widowControl/>
        <w:numPr>
          <w:ilvl w:val="0"/>
          <w:numId w:val="1"/>
        </w:numPr>
        <w:suppressLineNumbers w:val="0"/>
        <w:kinsoku/>
        <w:wordWrap/>
        <w:overflowPunct/>
        <w:topLinePunct w:val="0"/>
        <w:autoSpaceDE/>
        <w:autoSpaceDN/>
        <w:bidi w:val="0"/>
        <w:adjustRightInd/>
        <w:snapToGrid/>
        <w:spacing w:line="500" w:lineRule="exact"/>
        <w:ind w:firstLine="482" w:firstLineChars="200"/>
        <w:jc w:val="left"/>
        <w:textAlignment w:val="auto"/>
        <w:rPr>
          <w:rFonts w:hint="eastAsia" w:ascii="Times New Roman" w:hAnsi="Times New Roman" w:eastAsia="宋体" w:cs="宋体"/>
          <w:b/>
          <w:bCs/>
          <w:color w:val="auto"/>
          <w:kern w:val="0"/>
          <w:sz w:val="24"/>
          <w:szCs w:val="24"/>
          <w:highlight w:val="none"/>
          <w:lang w:val="en-US" w:eastAsia="zh-CN" w:bidi="ar"/>
        </w:rPr>
      </w:pPr>
      <w:r>
        <w:rPr>
          <w:rFonts w:hint="eastAsia" w:ascii="Times New Roman" w:hAnsi="Times New Roman" w:eastAsia="宋体" w:cs="宋体"/>
          <w:b/>
          <w:bCs/>
          <w:color w:val="auto"/>
          <w:kern w:val="0"/>
          <w:sz w:val="24"/>
          <w:szCs w:val="24"/>
          <w:highlight w:val="none"/>
          <w:lang w:val="en-US" w:eastAsia="zh-CN" w:bidi="ar"/>
        </w:rPr>
        <w:t>服务要求</w:t>
      </w:r>
    </w:p>
    <w:p w14:paraId="3688533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rPr>
        <w:t>1、归档材料应齐全完整，破损的应予修整，字迹模糊或易褪变的应予复制。</w:t>
      </w:r>
    </w:p>
    <w:p w14:paraId="2EC52C3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rPr>
        <w:t>2、整理归档材料所使用的书写材料、纸张、装订材料等应符合档案保护技术要求。</w:t>
      </w:r>
    </w:p>
    <w:p w14:paraId="2960FAB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3、归档材料整理时，应当遵循材料的形成规律，保持材料之间的有机联系，便于保管和利用的原则。</w:t>
      </w:r>
    </w:p>
    <w:p w14:paraId="60F299D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4</w:t>
      </w:r>
      <w:r>
        <w:rPr>
          <w:rFonts w:hint="default" w:ascii="Times New Roman" w:hAnsi="Times New Roman" w:eastAsia="宋体" w:cs="Times New Roman"/>
          <w:sz w:val="24"/>
        </w:rPr>
        <w:t>、</w:t>
      </w:r>
      <w:r>
        <w:rPr>
          <w:rFonts w:hint="eastAsia" w:ascii="Times New Roman" w:hAnsi="Times New Roman" w:eastAsia="宋体" w:cs="Times New Roman"/>
          <w:sz w:val="24"/>
          <w:lang w:val="en-US" w:eastAsia="zh-CN"/>
        </w:rPr>
        <w:t>供应商</w:t>
      </w:r>
      <w:r>
        <w:rPr>
          <w:rFonts w:hint="default" w:ascii="Times New Roman" w:hAnsi="Times New Roman" w:eastAsia="宋体" w:cs="Times New Roman"/>
          <w:sz w:val="24"/>
        </w:rPr>
        <w:t>应指派专人负责原始档案交接工作</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并认真办理相关交接手续。编制档案移交清册，签字表由</w:t>
      </w:r>
      <w:r>
        <w:rPr>
          <w:rFonts w:hint="eastAsia" w:ascii="Times New Roman" w:hAnsi="Times New Roman" w:eastAsia="宋体" w:cs="Times New Roman"/>
          <w:sz w:val="24"/>
          <w:lang w:val="en-US" w:eastAsia="zh-CN"/>
        </w:rPr>
        <w:t>采购人与供应商双方</w:t>
      </w:r>
      <w:r>
        <w:rPr>
          <w:rFonts w:hint="default" w:ascii="Times New Roman" w:hAnsi="Times New Roman" w:eastAsia="宋体" w:cs="Times New Roman"/>
          <w:sz w:val="24"/>
        </w:rPr>
        <w:t>签字一式两份各自保留</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并认真核对档案数量，保证领取的档案与交接单完全一致。</w:t>
      </w:r>
    </w:p>
    <w:p w14:paraId="627E001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5</w:t>
      </w:r>
      <w:r>
        <w:rPr>
          <w:rFonts w:hint="default" w:ascii="Times New Roman" w:hAnsi="Times New Roman" w:eastAsia="宋体" w:cs="Times New Roman"/>
          <w:sz w:val="24"/>
        </w:rPr>
        <w:t>、整理立卷</w:t>
      </w:r>
    </w:p>
    <w:p w14:paraId="542D981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rPr>
        <w:t>）不同幅面的图纸应按《技术制图复制图的折叠方法》（GB/10609.3—89）统一叠成A4幅面（297mm</w:t>
      </w:r>
      <w:r>
        <w:rPr>
          <w:rFonts w:hint="eastAsia" w:ascii="Times New Roman" w:hAnsi="Times New Roman" w:eastAsia="宋体" w:cs="Times New Roman"/>
          <w:sz w:val="24"/>
          <w:lang w:val="en-US" w:eastAsia="zh-CN"/>
        </w:rPr>
        <w:t>*</w:t>
      </w:r>
      <w:r>
        <w:rPr>
          <w:rFonts w:hint="default" w:ascii="Times New Roman" w:hAnsi="Times New Roman" w:eastAsia="宋体" w:cs="Times New Roman"/>
          <w:sz w:val="24"/>
        </w:rPr>
        <w:t>210mm），图标栏露在外面</w:t>
      </w:r>
      <w:r>
        <w:rPr>
          <w:rFonts w:hint="eastAsia" w:ascii="Times New Roman" w:hAnsi="Times New Roman" w:eastAsia="宋体" w:cs="Times New Roman"/>
          <w:sz w:val="24"/>
          <w:lang w:eastAsia="zh-CN"/>
        </w:rPr>
        <w:t>；</w:t>
      </w:r>
    </w:p>
    <w:p w14:paraId="7E907C7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）根据维修资金</w:t>
      </w:r>
      <w:r>
        <w:rPr>
          <w:rFonts w:hint="default" w:ascii="Times New Roman" w:hAnsi="Times New Roman" w:eastAsia="宋体" w:cs="Times New Roman"/>
          <w:sz w:val="24"/>
          <w:lang w:val="en-US" w:eastAsia="zh-CN"/>
        </w:rPr>
        <w:t>使用拨付</w:t>
      </w:r>
      <w:r>
        <w:rPr>
          <w:rFonts w:hint="default" w:ascii="Times New Roman" w:hAnsi="Times New Roman" w:eastAsia="宋体" w:cs="Times New Roman"/>
          <w:sz w:val="24"/>
        </w:rPr>
        <w:t>管理材料现况，为提高检索利用的便利性，住宅专项维修资金管理材料按照年度进行分类立卷，按材料类别进行排序</w:t>
      </w: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根据预算和结算</w:t>
      </w:r>
      <w:r>
        <w:rPr>
          <w:rFonts w:hint="eastAsia" w:ascii="Times New Roman" w:hAnsi="Times New Roman" w:eastAsia="宋体" w:cs="Times New Roman"/>
          <w:sz w:val="24"/>
          <w:lang w:val="en-US" w:eastAsia="zh-CN"/>
        </w:rPr>
        <w:t>资料</w:t>
      </w:r>
      <w:r>
        <w:rPr>
          <w:rFonts w:hint="default" w:ascii="Times New Roman" w:hAnsi="Times New Roman" w:eastAsia="宋体" w:cs="Times New Roman"/>
          <w:sz w:val="24"/>
          <w:lang w:val="en-US" w:eastAsia="zh-CN"/>
        </w:rPr>
        <w:t>不同分开排序</w:t>
      </w:r>
      <w:r>
        <w:rPr>
          <w:rFonts w:hint="eastAsia" w:ascii="Times New Roman" w:hAnsi="Times New Roman" w:eastAsia="宋体" w:cs="Times New Roman"/>
          <w:sz w:val="24"/>
          <w:lang w:val="en-US" w:eastAsia="zh-CN"/>
        </w:rPr>
        <w:t>；</w:t>
      </w:r>
    </w:p>
    <w:p w14:paraId="6EDBD8D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rPr>
        <w:t>）归档材料应按照分类排列顺序编制页号。案卷内文字材料均以有书写内容的页面编写页号，每1页材料编写1个页号。单面书写的材料应在右下角编写页号；双面书写的材料，应在正面右下角、背面左下角编写页号。卷内目录、备考表不编页号。编写页号应使用阿拉伯数字，起始号码从</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1</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开始</w:t>
      </w:r>
      <w:r>
        <w:rPr>
          <w:rFonts w:hint="eastAsia" w:ascii="Times New Roman" w:hAnsi="Times New Roman" w:eastAsia="宋体" w:cs="Times New Roman"/>
          <w:sz w:val="24"/>
          <w:lang w:eastAsia="zh-CN"/>
        </w:rPr>
        <w:t>；</w:t>
      </w:r>
    </w:p>
    <w:p w14:paraId="51E9EB5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4</w:t>
      </w:r>
      <w:r>
        <w:rPr>
          <w:rFonts w:hint="default" w:ascii="Times New Roman" w:hAnsi="Times New Roman" w:eastAsia="宋体" w:cs="Times New Roman"/>
          <w:sz w:val="24"/>
        </w:rPr>
        <w:t>）归档材料应依据页号顺序编制并打印目录</w:t>
      </w:r>
      <w:r>
        <w:rPr>
          <w:rFonts w:hint="eastAsia" w:ascii="Times New Roman" w:hAnsi="Times New Roman" w:eastAsia="宋体" w:cs="Times New Roman"/>
          <w:sz w:val="24"/>
          <w:lang w:eastAsia="zh-CN"/>
        </w:rPr>
        <w:t>：</w:t>
      </w:r>
    </w:p>
    <w:p w14:paraId="5BD5956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1 \* GB3</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①</w:t>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序号：按卷内材料的排列顺序，每份材料应编制一个序号，不重复遗漏</w:t>
      </w:r>
      <w:r>
        <w:rPr>
          <w:rFonts w:hint="eastAsia" w:ascii="Times New Roman" w:hAnsi="Times New Roman" w:eastAsia="宋体" w:cs="Times New Roman"/>
          <w:sz w:val="24"/>
          <w:lang w:eastAsia="zh-CN"/>
        </w:rPr>
        <w:t>；</w:t>
      </w:r>
    </w:p>
    <w:p w14:paraId="5DE14B6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2 \* GB3</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②</w:t>
      </w:r>
      <w:r>
        <w:rPr>
          <w:rFonts w:hint="default" w:ascii="Times New Roman" w:hAnsi="Times New Roman" w:eastAsia="宋体" w:cs="Times New Roman"/>
          <w:sz w:val="24"/>
        </w:rPr>
        <w:fldChar w:fldCharType="end"/>
      </w:r>
      <w:r>
        <w:rPr>
          <w:rFonts w:hint="default" w:ascii="Times New Roman" w:hAnsi="Times New Roman" w:eastAsia="宋体" w:cs="Times New Roman"/>
          <w:sz w:val="24"/>
          <w:lang w:val="en-US" w:eastAsia="zh-CN"/>
        </w:rPr>
        <w:t>资料</w:t>
      </w:r>
      <w:r>
        <w:rPr>
          <w:rFonts w:hint="default" w:ascii="Times New Roman" w:hAnsi="Times New Roman" w:eastAsia="宋体" w:cs="Times New Roman"/>
          <w:sz w:val="24"/>
        </w:rPr>
        <w:t>名称：应填写该材料自身的标题，不得随意更改和省略。如材料无标题，应根据材料内容拟写一个标题</w:t>
      </w:r>
      <w:r>
        <w:rPr>
          <w:rFonts w:hint="eastAsia" w:ascii="Times New Roman" w:hAnsi="Times New Roman" w:eastAsia="宋体" w:cs="Times New Roman"/>
          <w:sz w:val="24"/>
          <w:lang w:eastAsia="zh-CN"/>
        </w:rPr>
        <w:t>；</w:t>
      </w:r>
    </w:p>
    <w:p w14:paraId="0D5B143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3 \* GB3</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③</w:t>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页数：填写该材料共计页数</w:t>
      </w:r>
      <w:r>
        <w:rPr>
          <w:rFonts w:hint="eastAsia" w:ascii="Times New Roman" w:hAnsi="Times New Roman" w:eastAsia="宋体" w:cs="Times New Roman"/>
          <w:sz w:val="24"/>
          <w:lang w:eastAsia="zh-CN"/>
        </w:rPr>
        <w:t>；</w:t>
      </w:r>
    </w:p>
    <w:p w14:paraId="5512760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fldChar w:fldCharType="begin"/>
      </w:r>
      <w:r>
        <w:rPr>
          <w:rFonts w:hint="default" w:ascii="Times New Roman" w:hAnsi="Times New Roman" w:eastAsia="宋体" w:cs="Times New Roman"/>
          <w:sz w:val="24"/>
        </w:rPr>
        <w:instrText xml:space="preserve">= 4 \* GB3</w:instrText>
      </w:r>
      <w:r>
        <w:rPr>
          <w:rFonts w:hint="default" w:ascii="Times New Roman" w:hAnsi="Times New Roman" w:eastAsia="宋体" w:cs="Times New Roman"/>
          <w:sz w:val="24"/>
        </w:rPr>
        <w:fldChar w:fldCharType="separate"/>
      </w:r>
      <w:r>
        <w:rPr>
          <w:rFonts w:hint="default" w:ascii="Times New Roman" w:hAnsi="Times New Roman" w:eastAsia="宋体" w:cs="Times New Roman"/>
          <w:sz w:val="24"/>
        </w:rPr>
        <w:t>④</w:t>
      </w:r>
      <w:r>
        <w:rPr>
          <w:rFonts w:hint="default" w:ascii="Times New Roman" w:hAnsi="Times New Roman" w:eastAsia="宋体" w:cs="Times New Roman"/>
          <w:sz w:val="24"/>
        </w:rPr>
        <w:fldChar w:fldCharType="end"/>
      </w:r>
      <w:r>
        <w:rPr>
          <w:rFonts w:hint="default" w:ascii="Times New Roman" w:hAnsi="Times New Roman" w:eastAsia="宋体" w:cs="Times New Roman"/>
          <w:sz w:val="24"/>
        </w:rPr>
        <w:t>起止页码：填写该材料所在的起始页，最后页应填起止页号</w:t>
      </w:r>
      <w:r>
        <w:rPr>
          <w:rFonts w:hint="eastAsia" w:ascii="Times New Roman" w:hAnsi="Times New Roman" w:eastAsia="宋体" w:cs="Times New Roman"/>
          <w:sz w:val="24"/>
          <w:lang w:eastAsia="zh-CN"/>
        </w:rPr>
        <w:t>。</w:t>
      </w:r>
    </w:p>
    <w:p w14:paraId="4E36B38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rPr>
        <w:t>、扫描存档</w:t>
      </w:r>
    </w:p>
    <w:p w14:paraId="4515907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rPr>
        <w:t>（1）小于A4及A4幅面的材料按A4规格进行扫描</w:t>
      </w:r>
      <w:r>
        <w:rPr>
          <w:rFonts w:hint="default" w:ascii="Times New Roman" w:hAnsi="Times New Roman" w:eastAsia="宋体" w:cs="Times New Roman"/>
          <w:sz w:val="24"/>
          <w:lang w:eastAsia="zh-CN"/>
        </w:rPr>
        <w:t>，</w:t>
      </w:r>
      <w:r>
        <w:rPr>
          <w:rFonts w:hint="default" w:ascii="Times New Roman" w:hAnsi="Times New Roman" w:eastAsia="宋体" w:cs="Times New Roman"/>
          <w:sz w:val="24"/>
          <w:lang w:val="en-US" w:eastAsia="zh-CN"/>
        </w:rPr>
        <w:t>A3幅面的图纸材料应按A3幅面进行扫描，A0幅面的图纸材料应按A0幅面进行扫描</w:t>
      </w:r>
      <w:r>
        <w:rPr>
          <w:rFonts w:hint="eastAsia" w:ascii="Times New Roman" w:hAnsi="Times New Roman" w:eastAsia="宋体" w:cs="Times New Roman"/>
          <w:sz w:val="24"/>
          <w:lang w:val="en-US" w:eastAsia="zh-CN"/>
        </w:rPr>
        <w:t>；</w:t>
      </w:r>
    </w:p>
    <w:p w14:paraId="2C8B419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（2）材料为彩色的应采用彩色模式进行扫描加工</w:t>
      </w:r>
      <w:r>
        <w:rPr>
          <w:rFonts w:hint="eastAsia" w:ascii="Times New Roman" w:hAnsi="Times New Roman" w:eastAsia="宋体" w:cs="Times New Roman"/>
          <w:sz w:val="24"/>
          <w:lang w:eastAsia="zh-CN"/>
        </w:rPr>
        <w:t>；</w:t>
      </w:r>
    </w:p>
    <w:p w14:paraId="53B1DED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（3）扫描分辨率原则上以扫描后的图像文件清晰、完整、不影响利用效果为准。分辨率应选择300dpi</w:t>
      </w:r>
      <w:r>
        <w:rPr>
          <w:rFonts w:hint="default" w:ascii="Times New Roman" w:hAnsi="Times New Roman" w:eastAsia="宋体" w:cs="Times New Roman"/>
          <w:sz w:val="24"/>
          <w:lang w:val="en-US" w:eastAsia="zh-CN"/>
        </w:rPr>
        <w:t>以上</w:t>
      </w:r>
      <w:r>
        <w:rPr>
          <w:rFonts w:hint="default" w:ascii="Times New Roman" w:hAnsi="Times New Roman" w:eastAsia="宋体" w:cs="Times New Roman"/>
          <w:sz w:val="24"/>
        </w:rPr>
        <w:t>；如手写稿、复印件及文字偏小、密集、清晰度较差等，应适当提高分辨率</w:t>
      </w:r>
      <w:r>
        <w:rPr>
          <w:rFonts w:hint="eastAsia" w:ascii="Times New Roman" w:hAnsi="Times New Roman" w:eastAsia="宋体" w:cs="Times New Roman"/>
          <w:sz w:val="24"/>
          <w:lang w:eastAsia="zh-CN"/>
        </w:rPr>
        <w:t>；</w:t>
      </w:r>
    </w:p>
    <w:p w14:paraId="488250F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（4）扫描的图像文件采用JPEG格式存储</w:t>
      </w:r>
      <w:r>
        <w:rPr>
          <w:rFonts w:hint="eastAsia" w:ascii="Times New Roman" w:hAnsi="Times New Roman" w:eastAsia="宋体" w:cs="Times New Roman"/>
          <w:sz w:val="24"/>
          <w:lang w:eastAsia="zh-CN"/>
        </w:rPr>
        <w:t>；</w:t>
      </w:r>
    </w:p>
    <w:p w14:paraId="49157B3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（5）扫描的图像文件应每卷存放于一个电子文件夹内，文件夹应根据检索利用的便利性进行命名</w:t>
      </w:r>
      <w:r>
        <w:rPr>
          <w:rFonts w:hint="eastAsia" w:ascii="Times New Roman" w:hAnsi="Times New Roman" w:eastAsia="宋体" w:cs="Times New Roman"/>
          <w:sz w:val="24"/>
          <w:lang w:eastAsia="zh-CN"/>
        </w:rPr>
        <w:t>；</w:t>
      </w:r>
    </w:p>
    <w:p w14:paraId="153EEBF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（6）材料扫描完成后，应比照纸质材料对每张图像文件命名。命名内容包括页号及文件名称，页号必须与纸质材料上编写的临时页号保持一致，文件名称应按照纸质材料上的实际名称完整录入，不得简化省略</w:t>
      </w:r>
      <w:r>
        <w:rPr>
          <w:rFonts w:hint="eastAsia" w:ascii="Times New Roman" w:hAnsi="Times New Roman" w:eastAsia="宋体" w:cs="Times New Roman"/>
          <w:sz w:val="24"/>
          <w:lang w:eastAsia="zh-CN"/>
        </w:rPr>
        <w:t>；</w:t>
      </w:r>
    </w:p>
    <w:p w14:paraId="0D4FF01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7）比照纸质材料，认真检查每页图像文件的质量及命名的正确性，并及时对存在质量问题的图像文件进行相应处理。图像文件偏斜失真，无法到达可读要求的，应进行图像文件处理或重新扫描；材料漏扫或错扫时，应及时补扫。扫描图像文件的命名及排列顺序，与纸质材料原件不一致时应进行修改和调整</w:t>
      </w:r>
      <w:r>
        <w:rPr>
          <w:rFonts w:hint="eastAsia" w:ascii="Times New Roman" w:hAnsi="Times New Roman" w:eastAsia="宋体" w:cs="Times New Roman"/>
          <w:sz w:val="24"/>
          <w:lang w:eastAsia="zh-CN"/>
        </w:rPr>
        <w:t>；</w:t>
      </w:r>
    </w:p>
    <w:p w14:paraId="7F3F6C2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（8）为方便图像文件利用，应按照图像文件内容和排列顺序进行文件命名，并在认真检查其正确性后，存储在与之相对应的图像文件保存的电子文件夹内</w:t>
      </w:r>
      <w:r>
        <w:rPr>
          <w:rFonts w:hint="eastAsia" w:ascii="Times New Roman" w:hAnsi="Times New Roman" w:eastAsia="宋体" w:cs="Times New Roman"/>
          <w:sz w:val="24"/>
          <w:lang w:eastAsia="zh-CN"/>
        </w:rPr>
        <w:t>；</w:t>
      </w:r>
    </w:p>
    <w:p w14:paraId="5BFA02C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9</w:t>
      </w:r>
      <w:r>
        <w:rPr>
          <w:rFonts w:hint="default" w:ascii="Times New Roman" w:hAnsi="Times New Roman" w:eastAsia="宋体" w:cs="Times New Roman"/>
          <w:sz w:val="24"/>
        </w:rPr>
        <w:t>）档案封装采用档案装订标准中的三点一线法对档案进行装订</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装订封面内容</w:t>
      </w:r>
      <w:r>
        <w:rPr>
          <w:rFonts w:hint="default" w:ascii="Times New Roman" w:hAnsi="Times New Roman" w:eastAsia="宋体" w:cs="Times New Roman"/>
          <w:sz w:val="24"/>
          <w:lang w:val="en-US" w:eastAsia="zh-CN"/>
        </w:rPr>
        <w:t>应</w:t>
      </w:r>
      <w:r>
        <w:rPr>
          <w:rFonts w:hint="default" w:ascii="Times New Roman" w:hAnsi="Times New Roman" w:eastAsia="宋体" w:cs="Times New Roman"/>
          <w:sz w:val="24"/>
        </w:rPr>
        <w:t>包括：档案类型、项目名称、坐落、业务类别、办理日期、件数、页数、保管期限、档号</w:t>
      </w:r>
      <w:r>
        <w:rPr>
          <w:rFonts w:hint="default" w:ascii="Times New Roman" w:hAnsi="Times New Roman" w:eastAsia="宋体" w:cs="Times New Roman"/>
          <w:sz w:val="24"/>
          <w:lang w:eastAsia="zh-CN"/>
        </w:rPr>
        <w:t>，</w:t>
      </w:r>
      <w:r>
        <w:rPr>
          <w:rFonts w:hint="default" w:ascii="Times New Roman" w:hAnsi="Times New Roman" w:eastAsia="宋体" w:cs="Times New Roman"/>
          <w:sz w:val="24"/>
        </w:rPr>
        <w:t>应依据</w:t>
      </w:r>
      <w:r>
        <w:rPr>
          <w:rFonts w:hint="default" w:ascii="Times New Roman" w:hAnsi="Times New Roman" w:eastAsia="宋体" w:cs="Times New Roman"/>
          <w:sz w:val="24"/>
          <w:lang w:val="en-US" w:eastAsia="zh-CN"/>
        </w:rPr>
        <w:t>卷宗</w:t>
      </w:r>
      <w:r>
        <w:rPr>
          <w:rFonts w:hint="default" w:ascii="Times New Roman" w:hAnsi="Times New Roman" w:eastAsia="宋体" w:cs="Times New Roman"/>
          <w:sz w:val="24"/>
        </w:rPr>
        <w:t>编制并打印</w:t>
      </w:r>
      <w:r>
        <w:rPr>
          <w:rFonts w:hint="default" w:ascii="Times New Roman" w:hAnsi="Times New Roman" w:eastAsia="宋体" w:cs="Times New Roman"/>
          <w:sz w:val="24"/>
          <w:lang w:val="en-US" w:eastAsia="zh-CN"/>
        </w:rPr>
        <w:t>盒内</w:t>
      </w:r>
      <w:r>
        <w:rPr>
          <w:rFonts w:hint="default" w:ascii="Times New Roman" w:hAnsi="Times New Roman" w:eastAsia="宋体" w:cs="Times New Roman"/>
          <w:sz w:val="24"/>
        </w:rPr>
        <w:t>目录</w:t>
      </w:r>
      <w:r>
        <w:rPr>
          <w:rFonts w:hint="eastAsia" w:ascii="Times New Roman" w:hAnsi="Times New Roman" w:eastAsia="宋体" w:cs="Times New Roman"/>
          <w:sz w:val="24"/>
          <w:lang w:eastAsia="zh-CN"/>
        </w:rPr>
        <w:t>；</w:t>
      </w:r>
    </w:p>
    <w:p w14:paraId="2A27016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10</w:t>
      </w:r>
      <w:r>
        <w:rPr>
          <w:rFonts w:hint="default" w:ascii="Times New Roman" w:hAnsi="Times New Roman" w:eastAsia="宋体" w:cs="Times New Roman"/>
          <w:sz w:val="24"/>
        </w:rPr>
        <w:t>）编制档号</w:t>
      </w:r>
      <w:r>
        <w:rPr>
          <w:rFonts w:hint="eastAsia" w:ascii="Times New Roman" w:hAnsi="Times New Roman" w:eastAsia="宋体" w:cs="Times New Roman"/>
          <w:sz w:val="24"/>
          <w:lang w:eastAsia="zh-CN"/>
        </w:rPr>
        <w:t>：</w:t>
      </w:r>
    </w:p>
    <w:p w14:paraId="5E3B886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根据</w:t>
      </w:r>
      <w:r>
        <w:rPr>
          <w:rFonts w:hint="default" w:ascii="Times New Roman" w:hAnsi="Times New Roman" w:eastAsia="宋体" w:cs="Times New Roman"/>
          <w:sz w:val="24"/>
          <w:lang w:val="en-US" w:eastAsia="zh-CN"/>
        </w:rPr>
        <w:t>2023年7月24日</w:t>
      </w:r>
      <w:r>
        <w:rPr>
          <w:rFonts w:hint="default" w:ascii="Times New Roman" w:hAnsi="Times New Roman" w:eastAsia="宋体" w:cs="Times New Roman"/>
          <w:sz w:val="24"/>
        </w:rPr>
        <w:t>《关于印发住房保障和房屋管理档案分类方案、归档范围和保管期限表的通知》文件规定，房管专业档案代号用英语字母</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ZF</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表示</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住房专项维修资金管理类分类号为ZFW</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维修资金使用拨付ZFW</w:t>
      </w:r>
      <w:r>
        <w:rPr>
          <w:rFonts w:hint="default" w:ascii="Times New Roman" w:hAnsi="Times New Roman" w:eastAsia="宋体" w:cs="Times New Roman"/>
          <w:sz w:val="24"/>
          <w:lang w:val="en-US" w:eastAsia="zh-CN"/>
        </w:rPr>
        <w:t>3</w:t>
      </w:r>
      <w:r>
        <w:rPr>
          <w:rFonts w:hint="default" w:ascii="Times New Roman" w:hAnsi="Times New Roman" w:eastAsia="宋体" w:cs="Times New Roman"/>
          <w:sz w:val="24"/>
        </w:rPr>
        <w:t>b</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以年度分类后，项目依流水编号。</w:t>
      </w:r>
    </w:p>
    <w:p w14:paraId="76F6C87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7</w:t>
      </w:r>
      <w:r>
        <w:rPr>
          <w:rFonts w:hint="default" w:ascii="Times New Roman" w:hAnsi="Times New Roman" w:eastAsia="宋体" w:cs="Times New Roman"/>
          <w:sz w:val="24"/>
        </w:rPr>
        <w:t>、材料装盒</w:t>
      </w:r>
    </w:p>
    <w:p w14:paraId="570B511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eastAsia" w:ascii="Times New Roman" w:hAnsi="Times New Roman" w:eastAsia="宋体" w:cs="Times New Roman"/>
          <w:sz w:val="24"/>
          <w:lang w:eastAsia="zh-CN"/>
        </w:rPr>
      </w:pPr>
      <w:r>
        <w:rPr>
          <w:rFonts w:hint="eastAsia" w:ascii="Times New Roman" w:hAnsi="Times New Roman" w:eastAsia="宋体" w:cs="Times New Roman"/>
          <w:sz w:val="24"/>
          <w:lang w:eastAsia="zh-CN"/>
        </w:rPr>
        <w:t>（</w:t>
      </w:r>
      <w:r>
        <w:rPr>
          <w:rFonts w:hint="eastAsia" w:ascii="Times New Roman" w:hAnsi="Times New Roman" w:eastAsia="宋体" w:cs="Times New Roman"/>
          <w:sz w:val="24"/>
          <w:lang w:val="en-US" w:eastAsia="zh-CN"/>
        </w:rPr>
        <w:t>1</w:t>
      </w:r>
      <w:r>
        <w:rPr>
          <w:rFonts w:hint="eastAsia" w:ascii="Times New Roman" w:hAnsi="Times New Roman" w:eastAsia="宋体" w:cs="Times New Roman"/>
          <w:sz w:val="24"/>
          <w:lang w:eastAsia="zh-CN"/>
        </w:rPr>
        <w:t>）</w:t>
      </w:r>
      <w:r>
        <w:rPr>
          <w:rFonts w:hint="default" w:ascii="Times New Roman" w:hAnsi="Times New Roman" w:eastAsia="宋体" w:cs="Times New Roman"/>
          <w:sz w:val="24"/>
        </w:rPr>
        <w:t>将装订好的档案案卷按先后顺序装入档案盒，采用标准60mm</w:t>
      </w:r>
      <w:r>
        <w:rPr>
          <w:rFonts w:hint="default" w:ascii="Times New Roman" w:hAnsi="Times New Roman" w:eastAsia="宋体" w:cs="Times New Roman"/>
          <w:sz w:val="24"/>
          <w:lang w:val="en-US" w:eastAsia="zh-CN"/>
        </w:rPr>
        <w:t>无酸纸</w:t>
      </w:r>
      <w:r>
        <w:rPr>
          <w:rFonts w:hint="default" w:ascii="Times New Roman" w:hAnsi="Times New Roman" w:eastAsia="宋体" w:cs="Times New Roman"/>
          <w:sz w:val="24"/>
        </w:rPr>
        <w:t>档案盒进行封装，并填写档案盒盒脊。</w:t>
      </w:r>
      <w:bookmarkStart w:id="10" w:name="_Toc304632871"/>
      <w:r>
        <w:rPr>
          <w:rFonts w:hint="default" w:ascii="Times New Roman" w:hAnsi="Times New Roman" w:eastAsia="宋体" w:cs="Times New Roman"/>
          <w:sz w:val="24"/>
        </w:rPr>
        <w:t>档案盒盒脊需填写</w:t>
      </w:r>
      <w:bookmarkEnd w:id="10"/>
      <w:r>
        <w:rPr>
          <w:rFonts w:hint="default" w:ascii="Times New Roman" w:hAnsi="Times New Roman" w:eastAsia="宋体" w:cs="Times New Roman"/>
          <w:sz w:val="24"/>
        </w:rPr>
        <w:t>全宗号、年度、保管期限档案号，可采用计算机打印及手工填写，手工填写时应使用黑色墨水或墨汁填写，字体工整，不得涂改</w:t>
      </w:r>
      <w:r>
        <w:rPr>
          <w:rFonts w:hint="eastAsia" w:ascii="Times New Roman" w:hAnsi="Times New Roman" w:eastAsia="宋体" w:cs="Times New Roman"/>
          <w:sz w:val="24"/>
          <w:lang w:eastAsia="zh-CN"/>
        </w:rPr>
        <w:t>；</w:t>
      </w:r>
    </w:p>
    <w:p w14:paraId="018DEB0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2</w:t>
      </w:r>
      <w:r>
        <w:rPr>
          <w:rFonts w:hint="default" w:ascii="Times New Roman" w:hAnsi="Times New Roman" w:eastAsia="宋体" w:cs="Times New Roman"/>
          <w:sz w:val="24"/>
        </w:rPr>
        <w:t>）</w:t>
      </w:r>
      <w:r>
        <w:rPr>
          <w:rFonts w:hint="default" w:ascii="Times New Roman" w:hAnsi="Times New Roman" w:eastAsia="宋体" w:cs="Times New Roman"/>
          <w:sz w:val="24"/>
          <w:lang w:val="en-US" w:eastAsia="zh-CN"/>
        </w:rPr>
        <w:t>编制盒内目录设置的项目包括档号、项目名称、案卷题名和总页数</w:t>
      </w:r>
      <w:r>
        <w:rPr>
          <w:rFonts w:hint="eastAsia" w:ascii="Times New Roman" w:hAnsi="Times New Roman" w:eastAsia="宋体" w:cs="Times New Roman"/>
          <w:sz w:val="24"/>
          <w:lang w:val="en-US" w:eastAsia="zh-CN"/>
        </w:rPr>
        <w:t>；</w:t>
      </w:r>
    </w:p>
    <w:p w14:paraId="5D826AE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（3）编制备考表上设置的项目包括情况说明、整理人、检查人和日期。</w:t>
      </w:r>
      <w:bookmarkStart w:id="11" w:name="_Toc306266330"/>
      <w:bookmarkEnd w:id="11"/>
      <w:bookmarkStart w:id="12" w:name="_Toc309635061"/>
      <w:bookmarkEnd w:id="12"/>
      <w:bookmarkStart w:id="13" w:name="_Toc306266329"/>
      <w:bookmarkEnd w:id="13"/>
      <w:bookmarkStart w:id="14" w:name="_Toc309635062"/>
      <w:bookmarkEnd w:id="14"/>
      <w:bookmarkStart w:id="15" w:name="_Toc304796920"/>
      <w:bookmarkEnd w:id="15"/>
      <w:bookmarkStart w:id="16" w:name="_Toc312680729"/>
      <w:bookmarkEnd w:id="16"/>
      <w:bookmarkStart w:id="17" w:name="_Toc305055792"/>
      <w:bookmarkEnd w:id="17"/>
      <w:bookmarkStart w:id="18" w:name="_Toc312680728"/>
      <w:bookmarkEnd w:id="18"/>
      <w:bookmarkStart w:id="19" w:name="_Toc304632873"/>
      <w:bookmarkEnd w:id="19"/>
      <w:bookmarkStart w:id="20" w:name="_Toc304655408"/>
      <w:bookmarkEnd w:id="20"/>
      <w:bookmarkStart w:id="21" w:name="_Toc304225167"/>
      <w:bookmarkEnd w:id="21"/>
      <w:bookmarkStart w:id="22" w:name="_Toc305055793"/>
      <w:bookmarkEnd w:id="22"/>
    </w:p>
    <w:p w14:paraId="018FF4D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8</w:t>
      </w:r>
      <w:r>
        <w:rPr>
          <w:rFonts w:hint="default" w:ascii="Times New Roman" w:hAnsi="Times New Roman" w:eastAsia="宋体" w:cs="Times New Roman"/>
          <w:sz w:val="24"/>
        </w:rPr>
        <w:t>、档案移交上架</w:t>
      </w:r>
    </w:p>
    <w:p w14:paraId="0CEDDBC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rPr>
        <w:t>档案整理完毕后，应及时向</w:t>
      </w:r>
      <w:r>
        <w:rPr>
          <w:rFonts w:hint="eastAsia" w:ascii="Times New Roman" w:hAnsi="Times New Roman" w:eastAsia="宋体" w:cs="Times New Roman"/>
          <w:sz w:val="24"/>
          <w:lang w:val="en-US" w:eastAsia="zh-CN"/>
        </w:rPr>
        <w:t>采购人</w:t>
      </w:r>
      <w:r>
        <w:rPr>
          <w:rFonts w:hint="default" w:ascii="Times New Roman" w:hAnsi="Times New Roman" w:eastAsia="宋体" w:cs="Times New Roman"/>
          <w:sz w:val="24"/>
        </w:rPr>
        <w:t>档案管理部门移交并上架。移交档案要严格履行交接手续，对照移交清册对移交档案逐一进行核对，档案目录（含电子目录）一并移交。</w:t>
      </w:r>
    </w:p>
    <w:p w14:paraId="56881A0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eastAsia="宋体" w:cs="Times New Roman"/>
          <w:sz w:val="24"/>
        </w:rPr>
      </w:pPr>
      <w:r>
        <w:rPr>
          <w:rFonts w:hint="default" w:ascii="Times New Roman" w:hAnsi="Times New Roman" w:eastAsia="宋体" w:cs="Times New Roman"/>
          <w:sz w:val="24"/>
          <w:lang w:val="en-US" w:eastAsia="zh-CN"/>
        </w:rPr>
        <w:t>9</w:t>
      </w:r>
      <w:r>
        <w:rPr>
          <w:rFonts w:hint="default" w:ascii="Times New Roman" w:hAnsi="Times New Roman" w:eastAsia="宋体" w:cs="Times New Roman"/>
          <w:sz w:val="24"/>
        </w:rPr>
        <w:t>、质量检查及项目验收</w:t>
      </w:r>
    </w:p>
    <w:p w14:paraId="1579632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left"/>
        <w:textAlignment w:val="auto"/>
        <w:rPr>
          <w:rFonts w:hint="default" w:ascii="Times New Roman" w:hAnsi="Times New Roman" w:cs="Times New Roman"/>
          <w:kern w:val="0"/>
          <w:sz w:val="24"/>
          <w:szCs w:val="24"/>
        </w:rPr>
      </w:pPr>
      <w:r>
        <w:rPr>
          <w:rFonts w:hint="default" w:ascii="Times New Roman" w:hAnsi="Times New Roman" w:eastAsia="宋体" w:cs="Times New Roman"/>
          <w:sz w:val="24"/>
        </w:rPr>
        <w:t>由</w:t>
      </w:r>
      <w:r>
        <w:rPr>
          <w:rFonts w:hint="eastAsia" w:ascii="Times New Roman" w:hAnsi="Times New Roman" w:eastAsia="宋体" w:cs="Times New Roman"/>
          <w:sz w:val="24"/>
          <w:lang w:val="en-US" w:eastAsia="zh-CN"/>
        </w:rPr>
        <w:t>采购人</w:t>
      </w:r>
      <w:r>
        <w:rPr>
          <w:rFonts w:hint="default" w:ascii="Times New Roman" w:hAnsi="Times New Roman" w:eastAsia="宋体" w:cs="Times New Roman"/>
          <w:sz w:val="24"/>
          <w:lang w:val="en-US" w:eastAsia="zh-CN"/>
        </w:rPr>
        <w:t>业务人员</w:t>
      </w:r>
      <w:r>
        <w:rPr>
          <w:rFonts w:hint="default" w:ascii="Times New Roman" w:hAnsi="Times New Roman" w:eastAsia="宋体" w:cs="Times New Roman"/>
          <w:sz w:val="24"/>
        </w:rPr>
        <w:t>负责抽样检查成果，抽检比例不低于</w:t>
      </w:r>
      <w:r>
        <w:rPr>
          <w:rFonts w:hint="default" w:ascii="Times New Roman" w:hAnsi="Times New Roman" w:eastAsia="宋体" w:cs="Times New Roman"/>
          <w:sz w:val="24"/>
          <w:lang w:val="en-US" w:eastAsia="zh-CN"/>
        </w:rPr>
        <w:t>1</w:t>
      </w:r>
      <w:r>
        <w:rPr>
          <w:rFonts w:hint="default" w:ascii="Times New Roman" w:hAnsi="Times New Roman" w:eastAsia="宋体" w:cs="Times New Roman"/>
          <w:sz w:val="24"/>
        </w:rPr>
        <w:t>0%，质检无误后形成质检工作总结报告。在对扫描件成果质检后，直至满足数据标准要求准确无误，经</w:t>
      </w:r>
      <w:r>
        <w:rPr>
          <w:rFonts w:hint="eastAsia" w:ascii="Times New Roman" w:hAnsi="Times New Roman" w:eastAsia="宋体" w:cs="Times New Roman"/>
          <w:sz w:val="24"/>
          <w:lang w:val="en-US" w:eastAsia="zh-CN"/>
        </w:rPr>
        <w:t>采购人</w:t>
      </w:r>
      <w:r>
        <w:rPr>
          <w:rFonts w:hint="default" w:ascii="Times New Roman" w:hAnsi="Times New Roman" w:eastAsia="宋体" w:cs="Times New Roman"/>
          <w:sz w:val="24"/>
          <w:lang w:val="en-US" w:eastAsia="zh-CN"/>
        </w:rPr>
        <w:t>业务人员</w:t>
      </w:r>
      <w:r>
        <w:rPr>
          <w:rFonts w:hint="default" w:ascii="Times New Roman" w:hAnsi="Times New Roman" w:eastAsia="宋体" w:cs="Times New Roman"/>
          <w:sz w:val="24"/>
        </w:rPr>
        <w:t>审核确认的数据方可形成项目验收确认单，由</w:t>
      </w:r>
      <w:r>
        <w:rPr>
          <w:rFonts w:hint="eastAsia" w:ascii="Times New Roman" w:hAnsi="Times New Roman" w:eastAsia="宋体" w:cs="Times New Roman"/>
          <w:sz w:val="24"/>
          <w:lang w:val="en-US" w:eastAsia="zh-CN"/>
        </w:rPr>
        <w:t>采购人及供应商</w:t>
      </w:r>
      <w:r>
        <w:rPr>
          <w:rFonts w:hint="default" w:ascii="Times New Roman" w:hAnsi="Times New Roman" w:eastAsia="宋体" w:cs="Times New Roman"/>
          <w:sz w:val="24"/>
        </w:rPr>
        <w:t>双方签字，项目验收完毕后移交全部电子成果。</w:t>
      </w:r>
    </w:p>
    <w:p w14:paraId="0D8E3AD6">
      <w:pPr>
        <w:numPr>
          <w:ilvl w:val="0"/>
          <w:numId w:val="1"/>
        </w:numPr>
        <w:spacing w:line="500" w:lineRule="exact"/>
        <w:ind w:left="0" w:leftChars="0" w:firstLine="482" w:firstLineChars="200"/>
        <w:jc w:val="left"/>
        <w:rPr>
          <w:rFonts w:hint="eastAsia" w:ascii="宋体" w:hAnsi="宋体" w:cs="宋体"/>
          <w:b/>
          <w:bCs/>
          <w:kern w:val="0"/>
          <w:sz w:val="24"/>
          <w:szCs w:val="24"/>
          <w:lang w:val="en-US" w:eastAsia="zh-CN"/>
        </w:rPr>
      </w:pPr>
      <w:r>
        <w:rPr>
          <w:rFonts w:hint="eastAsia" w:ascii="宋体" w:hAnsi="宋体" w:cs="宋体"/>
          <w:b/>
          <w:bCs/>
          <w:kern w:val="0"/>
          <w:sz w:val="24"/>
          <w:szCs w:val="24"/>
          <w:lang w:val="en-US" w:eastAsia="zh-CN"/>
        </w:rPr>
        <w:t>保密要求</w:t>
      </w:r>
    </w:p>
    <w:p w14:paraId="436C750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1、档案加工实施应制定安全保密制度，确保信息安全和档案信息保密。</w:t>
      </w:r>
    </w:p>
    <w:p w14:paraId="732CAFA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2、</w:t>
      </w:r>
      <w:r>
        <w:rPr>
          <w:rFonts w:hint="eastAsia" w:ascii="Times New Roman" w:hAnsi="Times New Roman" w:cs="Times New Roman"/>
          <w:kern w:val="0"/>
          <w:sz w:val="24"/>
          <w:szCs w:val="24"/>
          <w:lang w:val="en-US" w:eastAsia="zh-CN"/>
        </w:rPr>
        <w:t>采购人与供应商</w:t>
      </w:r>
      <w:r>
        <w:rPr>
          <w:rFonts w:hint="default" w:ascii="Times New Roman" w:hAnsi="Times New Roman" w:cs="Times New Roman"/>
          <w:kern w:val="0"/>
          <w:sz w:val="24"/>
          <w:szCs w:val="24"/>
          <w:lang w:val="en-US" w:eastAsia="zh-CN"/>
        </w:rPr>
        <w:t>签订保密协议，如故意或者过失泄露秘密，除承担违约责任外，还应承担相应的法律责任。</w:t>
      </w:r>
      <w:r>
        <w:rPr>
          <w:rFonts w:hint="eastAsia" w:ascii="Times New Roman" w:hAnsi="Times New Roman" w:cs="Times New Roman"/>
          <w:kern w:val="0"/>
          <w:sz w:val="24"/>
          <w:szCs w:val="24"/>
          <w:lang w:val="en-US" w:eastAsia="zh-CN"/>
        </w:rPr>
        <w:t>供应商须</w:t>
      </w:r>
      <w:r>
        <w:rPr>
          <w:rFonts w:hint="default" w:ascii="Times New Roman" w:hAnsi="Times New Roman" w:cs="Times New Roman"/>
          <w:kern w:val="0"/>
          <w:sz w:val="24"/>
          <w:szCs w:val="24"/>
          <w:lang w:val="en-US" w:eastAsia="zh-CN"/>
        </w:rPr>
        <w:t xml:space="preserve">加强对参与该项目的所有人员的保密教育，项目结束后，要进行必要的脱密期管理。 </w:t>
      </w:r>
    </w:p>
    <w:p w14:paraId="00473AA2">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3、严格遵守《保密守则》及采购人的有关规定。档案扫描工作必须在采购人指定的场所内进行。加工单位需确保场所正常秩序和安全。不得遗失、损坏档案，如有违法者，将追究法律责任。</w:t>
      </w:r>
    </w:p>
    <w:p w14:paraId="2FECA913">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default" w:ascii="Times New Roman" w:hAnsi="Times New Roman" w:cs="Times New Roman"/>
          <w:kern w:val="0"/>
          <w:sz w:val="24"/>
          <w:szCs w:val="24"/>
          <w:lang w:val="en-US" w:eastAsia="zh-CN"/>
        </w:rPr>
      </w:pPr>
      <w:r>
        <w:rPr>
          <w:rFonts w:hint="default" w:ascii="Times New Roman" w:hAnsi="Times New Roman" w:cs="Times New Roman"/>
          <w:kern w:val="0"/>
          <w:sz w:val="24"/>
          <w:szCs w:val="24"/>
          <w:lang w:val="en-US" w:eastAsia="zh-CN"/>
        </w:rPr>
        <w:t>4、</w:t>
      </w:r>
      <w:r>
        <w:rPr>
          <w:rFonts w:hint="eastAsia" w:ascii="Times New Roman" w:hAnsi="Times New Roman" w:cs="Times New Roman"/>
          <w:kern w:val="0"/>
          <w:sz w:val="24"/>
          <w:szCs w:val="24"/>
          <w:lang w:val="en-US" w:eastAsia="zh-CN"/>
        </w:rPr>
        <w:t>供应商</w:t>
      </w:r>
      <w:r>
        <w:rPr>
          <w:rFonts w:hint="default" w:ascii="Times New Roman" w:hAnsi="Times New Roman" w:cs="Times New Roman"/>
          <w:kern w:val="0"/>
          <w:sz w:val="24"/>
          <w:szCs w:val="24"/>
          <w:lang w:val="en-US" w:eastAsia="zh-CN"/>
        </w:rPr>
        <w:t>应树立保密观念，贯彻执行《档案法》和《保密法》，对各类档案均应按规定的范围进行查阅、借阅，并严格履行手续。</w:t>
      </w:r>
    </w:p>
    <w:p w14:paraId="1908200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firstLine="480" w:firstLineChars="200"/>
        <w:jc w:val="left"/>
        <w:textAlignment w:val="auto"/>
        <w:rPr>
          <w:rFonts w:hint="default" w:ascii="宋体" w:hAnsi="宋体" w:cs="宋体"/>
          <w:kern w:val="0"/>
          <w:sz w:val="24"/>
          <w:szCs w:val="24"/>
          <w:lang w:val="en-US" w:eastAsia="zh-CN"/>
        </w:rPr>
      </w:pPr>
      <w:r>
        <w:rPr>
          <w:rFonts w:hint="default" w:ascii="Times New Roman" w:hAnsi="Times New Roman" w:cs="Times New Roman"/>
          <w:kern w:val="0"/>
          <w:sz w:val="24"/>
          <w:szCs w:val="24"/>
          <w:lang w:val="en-US" w:eastAsia="zh-CN"/>
        </w:rPr>
        <w:t>5、项目验收阶段由</w:t>
      </w:r>
      <w:r>
        <w:rPr>
          <w:rFonts w:hint="eastAsia" w:ascii="Times New Roman" w:hAnsi="Times New Roman" w:cs="Times New Roman"/>
          <w:kern w:val="0"/>
          <w:sz w:val="24"/>
          <w:szCs w:val="24"/>
          <w:lang w:val="en-US" w:eastAsia="zh-CN"/>
        </w:rPr>
        <w:t>供应商</w:t>
      </w:r>
      <w:r>
        <w:rPr>
          <w:rFonts w:hint="default" w:ascii="Times New Roman" w:hAnsi="Times New Roman" w:cs="Times New Roman"/>
          <w:kern w:val="0"/>
          <w:sz w:val="24"/>
          <w:szCs w:val="24"/>
          <w:lang w:val="en-US" w:eastAsia="zh-CN"/>
        </w:rPr>
        <w:t>负责检查档案整理成果，</w:t>
      </w:r>
      <w:r>
        <w:rPr>
          <w:rFonts w:hint="eastAsia" w:ascii="Times New Roman" w:hAnsi="Times New Roman" w:cs="Times New Roman"/>
          <w:kern w:val="0"/>
          <w:sz w:val="24"/>
          <w:szCs w:val="24"/>
          <w:lang w:val="en-US" w:eastAsia="zh-CN"/>
        </w:rPr>
        <w:t>采购人</w:t>
      </w:r>
      <w:r>
        <w:rPr>
          <w:rFonts w:hint="default" w:ascii="Times New Roman" w:hAnsi="Times New Roman" w:cs="Times New Roman"/>
          <w:kern w:val="0"/>
          <w:sz w:val="24"/>
          <w:szCs w:val="24"/>
          <w:lang w:val="en-US" w:eastAsia="zh-CN"/>
        </w:rPr>
        <w:t>组织人员对工作成果组织检查，并在确认质检通过后编写《项目验收申请》并</w:t>
      </w:r>
      <w:r>
        <w:rPr>
          <w:rFonts w:hint="eastAsia" w:ascii="Times New Roman" w:hAnsi="Times New Roman" w:cs="Times New Roman"/>
          <w:kern w:val="0"/>
          <w:sz w:val="24"/>
          <w:szCs w:val="24"/>
          <w:lang w:val="en-US" w:eastAsia="zh-CN"/>
        </w:rPr>
        <w:t>由</w:t>
      </w:r>
      <w:r>
        <w:rPr>
          <w:rFonts w:hint="default" w:ascii="Times New Roman" w:hAnsi="Times New Roman" w:cs="Times New Roman"/>
          <w:kern w:val="0"/>
          <w:sz w:val="24"/>
          <w:szCs w:val="24"/>
          <w:lang w:val="en-US" w:eastAsia="zh-CN"/>
        </w:rPr>
        <w:t>双方确认签字。经质检通过确认后方可移交至</w:t>
      </w:r>
      <w:r>
        <w:rPr>
          <w:rFonts w:hint="eastAsia" w:ascii="Times New Roman" w:hAnsi="Times New Roman" w:cs="Times New Roman"/>
          <w:kern w:val="0"/>
          <w:sz w:val="24"/>
          <w:szCs w:val="24"/>
          <w:lang w:val="en-US" w:eastAsia="zh-CN"/>
        </w:rPr>
        <w:t>采购人档案管理部门</w:t>
      </w:r>
      <w:r>
        <w:rPr>
          <w:rFonts w:hint="default" w:ascii="Times New Roman" w:hAnsi="Times New Roman" w:cs="Times New Roman"/>
          <w:kern w:val="0"/>
          <w:sz w:val="24"/>
          <w:szCs w:val="24"/>
          <w:lang w:val="en-US" w:eastAsia="zh-CN"/>
        </w:rPr>
        <w:t>接收并上架。</w:t>
      </w:r>
    </w:p>
    <w:p w14:paraId="5E0F85D5">
      <w:pPr>
        <w:pStyle w:val="4"/>
        <w:keepNext w:val="0"/>
        <w:keepLines w:val="0"/>
        <w:pageBreakBefore w:val="0"/>
        <w:widowControl w:val="0"/>
        <w:kinsoku/>
        <w:wordWrap/>
        <w:overflowPunct/>
        <w:topLinePunct w:val="0"/>
        <w:autoSpaceDE/>
        <w:autoSpaceDN/>
        <w:bidi w:val="0"/>
        <w:adjustRightInd/>
        <w:snapToGrid/>
        <w:spacing w:before="157" w:beforeLines="50" w:after="0" w:line="500" w:lineRule="exact"/>
        <w:jc w:val="left"/>
        <w:textAlignment w:val="auto"/>
        <w:rPr>
          <w:rFonts w:hint="eastAsia" w:ascii="Times New Roman" w:hAnsi="Times New Roman" w:eastAsia="宋体" w:cs="Times New Roman"/>
          <w:b/>
          <w:bCs/>
          <w:caps w:val="0"/>
          <w:smallCaps w:val="0"/>
          <w:sz w:val="24"/>
          <w:szCs w:val="28"/>
          <w:highlight w:val="none"/>
          <w:lang w:val="en-US" w:eastAsia="zh-CN"/>
        </w:rPr>
      </w:pPr>
      <w:bookmarkStart w:id="23" w:name="_Toc17530"/>
      <w:bookmarkStart w:id="24" w:name="_Toc14635"/>
      <w:r>
        <w:rPr>
          <w:rFonts w:hint="eastAsia" w:ascii="Times New Roman" w:hAnsi="Times New Roman" w:eastAsia="宋体" w:cs="Times New Roman"/>
          <w:b/>
          <w:bCs/>
          <w:caps w:val="0"/>
          <w:smallCaps w:val="0"/>
          <w:sz w:val="24"/>
          <w:szCs w:val="28"/>
          <w:highlight w:val="none"/>
          <w:lang w:val="en-US" w:eastAsia="zh-CN"/>
        </w:rPr>
        <w:t>三、</w:t>
      </w:r>
      <w:bookmarkEnd w:id="23"/>
      <w:bookmarkStart w:id="25" w:name="_Toc2158"/>
      <w:r>
        <w:rPr>
          <w:rFonts w:hint="eastAsia" w:ascii="Times New Roman" w:hAnsi="Times New Roman" w:eastAsia="宋体" w:cs="Times New Roman"/>
          <w:b/>
          <w:bCs/>
          <w:caps w:val="0"/>
          <w:smallCaps w:val="0"/>
          <w:sz w:val="24"/>
          <w:szCs w:val="28"/>
          <w:highlight w:val="none"/>
          <w:lang w:val="en-US" w:eastAsia="zh-CN"/>
        </w:rPr>
        <w:t>商务要求</w:t>
      </w:r>
      <w:bookmarkEnd w:id="24"/>
      <w:bookmarkEnd w:id="25"/>
    </w:p>
    <w:p w14:paraId="64591901">
      <w:pPr>
        <w:keepNext w:val="0"/>
        <w:keepLines w:val="0"/>
        <w:pageBreakBefore w:val="0"/>
        <w:widowControl w:val="0"/>
        <w:numPr>
          <w:ilvl w:val="0"/>
          <w:numId w:val="0"/>
        </w:numPr>
        <w:tabs>
          <w:tab w:val="left" w:pos="635"/>
        </w:tabs>
        <w:kinsoku/>
        <w:wordWrap/>
        <w:overflowPunct/>
        <w:topLinePunct w:val="0"/>
        <w:autoSpaceDE/>
        <w:autoSpaceDN/>
        <w:bidi w:val="0"/>
        <w:adjustRightInd/>
        <w:snapToGrid/>
        <w:spacing w:line="500" w:lineRule="exact"/>
        <w:ind w:leftChars="200"/>
        <w:jc w:val="left"/>
        <w:textAlignment w:val="auto"/>
        <w:outlineLvl w:val="9"/>
        <w:rPr>
          <w:rFonts w:hint="eastAsia" w:ascii="Times New Roman" w:hAnsi="Times New Roman" w:eastAsia="宋体" w:cs="宋体"/>
          <w:b/>
          <w:bCs/>
          <w:sz w:val="24"/>
          <w:szCs w:val="24"/>
          <w:lang w:eastAsia="zh-CN"/>
        </w:rPr>
      </w:pPr>
      <w:r>
        <w:rPr>
          <w:rFonts w:hint="eastAsia" w:ascii="Times New Roman" w:hAnsi="Times New Roman" w:eastAsia="宋体" w:cs="宋体"/>
          <w:b/>
          <w:bCs/>
          <w:sz w:val="24"/>
          <w:szCs w:val="24"/>
          <w:lang w:val="en-US" w:eastAsia="zh-CN"/>
        </w:rPr>
        <w:t>★（一）付款方式</w:t>
      </w:r>
    </w:p>
    <w:p w14:paraId="4847751E">
      <w:pPr>
        <w:keepNext w:val="0"/>
        <w:keepLines w:val="0"/>
        <w:pageBreakBefore w:val="0"/>
        <w:widowControl w:val="0"/>
        <w:numPr>
          <w:ilvl w:val="0"/>
          <w:numId w:val="0"/>
        </w:numPr>
        <w:tabs>
          <w:tab w:val="left" w:pos="635"/>
        </w:tabs>
        <w:kinsoku/>
        <w:wordWrap/>
        <w:overflowPunct/>
        <w:topLinePunct w:val="0"/>
        <w:autoSpaceDE/>
        <w:autoSpaceDN/>
        <w:bidi w:val="0"/>
        <w:adjustRightInd/>
        <w:snapToGrid/>
        <w:spacing w:line="500" w:lineRule="exact"/>
        <w:ind w:leftChars="0" w:firstLine="480" w:firstLineChars="200"/>
        <w:jc w:val="left"/>
        <w:textAlignment w:val="auto"/>
        <w:outlineLvl w:val="9"/>
        <w:rPr>
          <w:rFonts w:hint="default" w:ascii="Times New Roman" w:hAnsi="Times New Roman" w:eastAsia="宋体" w:cs="宋体"/>
          <w:b w:val="0"/>
          <w:bCs w:val="0"/>
          <w:sz w:val="24"/>
          <w:szCs w:val="24"/>
          <w:highlight w:val="none"/>
          <w:lang w:val="en-US" w:eastAsia="zh-CN"/>
        </w:rPr>
      </w:pPr>
      <w:r>
        <w:rPr>
          <w:rFonts w:hint="eastAsia" w:ascii="Times New Roman" w:hAnsi="Times New Roman" w:eastAsia="宋体" w:cs="Times New Roman"/>
          <w:sz w:val="24"/>
          <w:szCs w:val="24"/>
          <w:highlight w:val="none"/>
          <w:lang w:val="en-US" w:eastAsia="zh-CN"/>
        </w:rPr>
        <w:t>根据采购人支付管理规定，双方签订合同时协商约定</w:t>
      </w:r>
      <w:r>
        <w:rPr>
          <w:rFonts w:hint="default" w:ascii="Times New Roman" w:hAnsi="Times New Roman" w:eastAsia="宋体" w:cs="Times New Roman"/>
          <w:sz w:val="24"/>
          <w:szCs w:val="24"/>
          <w:highlight w:val="none"/>
          <w:lang w:val="en-US" w:eastAsia="zh-CN"/>
        </w:rPr>
        <w:t>。</w:t>
      </w:r>
    </w:p>
    <w:p w14:paraId="3A93DBBB">
      <w:pPr>
        <w:keepNext w:val="0"/>
        <w:keepLines w:val="0"/>
        <w:pageBreakBefore w:val="0"/>
        <w:widowControl w:val="0"/>
        <w:tabs>
          <w:tab w:val="left" w:pos="635"/>
        </w:tabs>
        <w:kinsoku/>
        <w:wordWrap/>
        <w:overflowPunct/>
        <w:topLinePunct w:val="0"/>
        <w:autoSpaceDE/>
        <w:autoSpaceDN/>
        <w:bidi w:val="0"/>
        <w:adjustRightInd/>
        <w:snapToGrid/>
        <w:spacing w:line="500" w:lineRule="exact"/>
        <w:ind w:left="0" w:leftChars="0" w:firstLine="482" w:firstLineChars="200"/>
        <w:jc w:val="left"/>
        <w:textAlignment w:val="auto"/>
        <w:outlineLvl w:val="9"/>
        <w:rPr>
          <w:rFonts w:hint="eastAsia" w:ascii="Times New Roman" w:hAnsi="Times New Roman" w:eastAsia="宋体" w:cs="Times New Roman"/>
          <w:sz w:val="24"/>
          <w:szCs w:val="24"/>
          <w:lang w:val="en-US" w:eastAsia="zh-CN"/>
        </w:rPr>
      </w:pPr>
      <w:r>
        <w:rPr>
          <w:rFonts w:hint="eastAsia" w:ascii="Times New Roman" w:hAnsi="Times New Roman" w:eastAsia="宋体" w:cs="宋体"/>
          <w:b/>
          <w:bCs/>
          <w:sz w:val="24"/>
          <w:szCs w:val="24"/>
          <w:lang w:val="en-US" w:eastAsia="zh-CN"/>
        </w:rPr>
        <w:t>（二）验收要求</w:t>
      </w:r>
    </w:p>
    <w:p w14:paraId="61C36F9B">
      <w:pPr>
        <w:keepNext w:val="0"/>
        <w:keepLines w:val="0"/>
        <w:pageBreakBefore w:val="0"/>
        <w:widowControl w:val="0"/>
        <w:numPr>
          <w:ilvl w:val="0"/>
          <w:numId w:val="0"/>
        </w:numPr>
        <w:tabs>
          <w:tab w:val="left" w:pos="635"/>
        </w:tabs>
        <w:kinsoku/>
        <w:wordWrap/>
        <w:overflowPunct/>
        <w:topLinePunct w:val="0"/>
        <w:autoSpaceDE/>
        <w:autoSpaceDN/>
        <w:bidi w:val="0"/>
        <w:adjustRightInd/>
        <w:snapToGrid/>
        <w:spacing w:line="500" w:lineRule="exact"/>
        <w:ind w:leftChars="0" w:firstLine="480" w:firstLineChars="200"/>
        <w:jc w:val="left"/>
        <w:textAlignment w:val="auto"/>
        <w:outlineLvl w:val="9"/>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严格执行国家相关的规范、规程、规定，按国家所有现行有关验收规范、规程、质量检验验收标准等为验收标准。</w:t>
      </w:r>
    </w:p>
    <w:p w14:paraId="55BDFBEF">
      <w:pPr>
        <w:pStyle w:val="4"/>
        <w:keepNext w:val="0"/>
        <w:keepLines w:val="0"/>
        <w:pageBreakBefore w:val="0"/>
        <w:widowControl w:val="0"/>
        <w:kinsoku/>
        <w:wordWrap/>
        <w:overflowPunct/>
        <w:topLinePunct w:val="0"/>
        <w:autoSpaceDE/>
        <w:autoSpaceDN/>
        <w:bidi w:val="0"/>
        <w:adjustRightInd/>
        <w:snapToGrid/>
        <w:spacing w:before="157" w:beforeLines="50" w:after="0" w:line="500" w:lineRule="exact"/>
        <w:jc w:val="left"/>
        <w:textAlignment w:val="auto"/>
        <w:rPr>
          <w:rFonts w:hint="eastAsia" w:ascii="Times New Roman" w:hAnsi="Times New Roman" w:eastAsia="宋体" w:cs="Times New Roman"/>
          <w:b/>
          <w:bCs/>
          <w:caps w:val="0"/>
          <w:smallCaps w:val="0"/>
          <w:sz w:val="24"/>
          <w:szCs w:val="28"/>
          <w:highlight w:val="none"/>
          <w:lang w:val="en-US" w:eastAsia="zh-CN"/>
        </w:rPr>
      </w:pPr>
      <w:bookmarkStart w:id="26" w:name="_Toc32328"/>
      <w:bookmarkStart w:id="27" w:name="_Toc22955"/>
      <w:r>
        <w:rPr>
          <w:rFonts w:hint="eastAsia" w:ascii="Times New Roman" w:hAnsi="Times New Roman" w:eastAsia="宋体" w:cs="Times New Roman"/>
          <w:b/>
          <w:bCs/>
          <w:caps w:val="0"/>
          <w:smallCaps w:val="0"/>
          <w:sz w:val="24"/>
          <w:szCs w:val="28"/>
          <w:highlight w:val="none"/>
          <w:lang w:val="en-US" w:eastAsia="zh-CN"/>
        </w:rPr>
        <w:t>四、其他相关要求</w:t>
      </w:r>
      <w:bookmarkEnd w:id="26"/>
      <w:bookmarkEnd w:id="27"/>
    </w:p>
    <w:p w14:paraId="26B4E7F7">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1、本项目报价应包含各项服务以及伴随服务的货物的有关费用，且所有根据合同或其他原因应由供应商支付的税款和其他应交纳的费用都要包括在供应商提交的投标价中。</w:t>
      </w:r>
    </w:p>
    <w:p w14:paraId="1A2DCAE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2、技术服务：供应商在提供服务的同时，有义务根据采购人要求提供其他相关服务。</w:t>
      </w:r>
    </w:p>
    <w:p w14:paraId="79CF42DC">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3、严格执行国家相关的规范、规程、规定，按国家所有现行有关验收规范、规程、质量检验验收标准等为验收标准。</w:t>
      </w:r>
    </w:p>
    <w:p w14:paraId="09078DBB">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4、若发生重大事故，采购人有权更换并对供应商进行处罚，具体处罚在合同中约定。</w:t>
      </w:r>
      <w:bookmarkStart w:id="28" w:name="_GoBack"/>
      <w:bookmarkEnd w:id="28"/>
    </w:p>
    <w:p w14:paraId="1CDCC94A">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pPr>
      <w:r>
        <w:rPr>
          <w:rFonts w:hint="eastAsia" w:ascii="Times New Roman" w:hAnsi="Times New Roman" w:eastAsia="宋体" w:cs="Times New Roman"/>
          <w:sz w:val="24"/>
          <w:szCs w:val="24"/>
          <w:lang w:val="en-US" w:eastAsia="zh-CN"/>
        </w:rPr>
        <w:t>5、其他未尽事项在合同中另行约定。</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65ED0BE"/>
    <w:multiLevelType w:val="singleLevel"/>
    <w:tmpl w:val="165ED0B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4B7FD6"/>
    <w:rsid w:val="794B7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3"/>
    <w:next w:val="1"/>
    <w:qFormat/>
    <w:uiPriority w:val="0"/>
    <w:pPr>
      <w:keepNext/>
      <w:keepLines/>
      <w:spacing w:before="120" w:after="120" w:line="360" w:lineRule="auto"/>
      <w:outlineLvl w:val="0"/>
    </w:pPr>
    <w:rPr>
      <w:bCs w:val="0"/>
      <w:kern w:val="44"/>
      <w:sz w:val="28"/>
      <w:szCs w:val="44"/>
    </w:rPr>
  </w:style>
  <w:style w:type="paragraph" w:styleId="4">
    <w:name w:val="heading 2"/>
    <w:basedOn w:val="1"/>
    <w:next w:val="1"/>
    <w:qFormat/>
    <w:uiPriority w:val="0"/>
    <w:pPr>
      <w:spacing w:before="120" w:line="440" w:lineRule="exact"/>
      <w:jc w:val="left"/>
      <w:outlineLvl w:val="1"/>
    </w:pPr>
    <w:rPr>
      <w:rFonts w:ascii="Cambria" w:hAnsi="Cambria"/>
      <w:b/>
      <w:bCs/>
      <w:sz w:val="28"/>
      <w:szCs w:val="32"/>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3">
    <w:name w:val="Title"/>
    <w:basedOn w:val="1"/>
    <w:next w:val="1"/>
    <w:qFormat/>
    <w:uiPriority w:val="0"/>
    <w:pPr>
      <w:spacing w:before="240" w:after="60"/>
      <w:jc w:val="center"/>
      <w:outlineLvl w:val="0"/>
    </w:pPr>
    <w:rPr>
      <w:rFonts w:ascii="Cambria" w:hAnsi="Cambria" w:cs="Times New Roman"/>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2026-07-19T09:16:00Z</dcterms:created>
  <dc:creator>123</dc:creator>
  <cp:lastModifiedBy>123</cp:lastModifiedBy>
  <dcterms:modified xsi:type="dcterms:W3CDTF">2026-07-19T09:16:57Z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85DA2C82475D4B1DA1E96F0B42016F50_11</vt:lpwstr>
  </property>
  <property fmtid="{D5CDD505-2E9C-101B-9397-08002B2CF9AE}" pid="4" name="KSOTemplateDocerSaveRecord">
    <vt:lpwstr>eyJoZGlkIjoiZTgwN2QxOTJiMDAwZDg0ZTMwZTNhNjRhYmY0MTAwZDIiLCJ1c2VySWQiOiIyOTE1NzAwNTIifQ==</vt:lpwstr>
  </property>
</Properties>
</file>